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2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2024年豫东片区联盟药品集采申报</w:t>
      </w:r>
    </w:p>
    <w:p>
      <w:pPr>
        <w:pStyle w:val="style2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>
          <w:szCs w:val="21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1"/>
        <w:numPr>
          <w:ilvl w:val="0"/>
          <w:numId w:val="1"/>
        </w:numPr>
        <w:rPr/>
      </w:pPr>
      <w:r>
        <w:rPr>
          <w:rFonts w:hint="eastAsia"/>
        </w:rPr>
        <w:t>用户登录</w:t>
      </w:r>
    </w:p>
    <w:p>
      <w:pPr>
        <w:pStyle w:val="style0"/>
        <w:ind w:firstLine="640" w:firstLineChars="200"/>
        <w:rPr>
          <w:rFonts w:ascii="仿宋" w:eastAsia="仿宋" w:hAnsi="仿宋"/>
          <w:bCs/>
          <w:kern w:val="44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进入“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河南省医药集中采购平台</w:t>
      </w:r>
      <w:r>
        <w:rPr>
          <w:rFonts w:ascii="仿宋" w:eastAsia="仿宋" w:hAnsi="仿宋"/>
          <w:sz w:val="32"/>
          <w:szCs w:val="32"/>
        </w:rPr>
        <w:t>”用户登陆界面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（输入用户名、密码、验证码进行登录）登录成功后，点击</w:t>
      </w:r>
      <w:r>
        <w:rPr>
          <w:rFonts w:ascii="仿宋" w:eastAsia="仿宋" w:hAnsi="仿宋" w:hint="eastAsia"/>
          <w:bCs/>
          <w:kern w:val="44"/>
          <w:sz w:val="32"/>
          <w:szCs w:val="32"/>
          <w:lang w:val="en-US" w:eastAsia="zh-CN"/>
        </w:rPr>
        <w:t>药品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招标模块</w:t>
      </w:r>
      <w:r>
        <w:rPr>
          <w:rFonts w:ascii="仿宋" w:eastAsia="仿宋" w:hAnsi="仿宋" w:hint="eastAsia"/>
          <w:bCs/>
          <w:kern w:val="44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bCs/>
          <w:kern w:val="44"/>
          <w:sz w:val="32"/>
          <w:szCs w:val="32"/>
          <w:lang w:val="en-US" w:eastAsia="zh-CN"/>
        </w:rPr>
        <w:t>在带量招标采购下找到对应项目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进行操作。如下图：</w:t>
      </w:r>
    </w:p>
    <w:p>
      <w:pPr>
        <w:pStyle w:val="style0"/>
        <w:jc w:val="center"/>
        <w:rPr>
          <w:rFonts w:ascii="黑体" w:eastAsia="黑体" w:hAnsi="黑体" w:hint="eastAsia"/>
          <w:sz w:val="32"/>
          <w:szCs w:val="32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69230" cy="2353945"/>
            <wp:effectExtent l="0" t="0" r="3810" b="8255"/>
            <wp:docPr id="1026" name="图片 9" descr="16771180145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230" cy="2353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61610" cy="2232660"/>
            <wp:effectExtent l="0" t="0" r="11430" b="7620"/>
            <wp:docPr id="1027" name="图片 3" descr="168577761070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610" cy="2232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"/>
        <w:numPr>
          <w:ilvl w:val="0"/>
          <w:numId w:val="1"/>
        </w:numPr>
        <w:rPr/>
      </w:pPr>
      <w:r>
        <w:rPr>
          <w:rFonts w:hint="eastAsia"/>
          <w:lang w:val="en-US" w:eastAsia="zh-CN"/>
        </w:rPr>
        <w:t>产品申报/企业报名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ind w:firstLine="640" w:firstLineChars="20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.</w:t>
      </w:r>
      <w:r>
        <w:rPr>
          <w:rFonts w:ascii="黑体" w:eastAsia="黑体" w:hAnsi="黑体" w:hint="eastAsia"/>
          <w:sz w:val="32"/>
          <w:szCs w:val="32"/>
          <w:lang w:val="en-US" w:eastAsia="zh-CN"/>
        </w:rPr>
        <w:t>1</w:t>
      </w:r>
      <w:r>
        <w:rPr>
          <w:rFonts w:ascii="黑体" w:eastAsia="黑体" w:hAnsi="黑体" w:hint="eastAsia"/>
          <w:sz w:val="32"/>
          <w:szCs w:val="32"/>
        </w:rPr>
        <w:t>产品信息申报</w:t>
      </w:r>
    </w:p>
    <w:p>
      <w:pPr>
        <w:pStyle w:val="style0"/>
        <w:ind w:firstLine="640" w:firstLineChars="2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点击【2024年豫东片区联盟药品集采】模块，进入到产品信息申报维护界面</w:t>
      </w:r>
    </w:p>
    <w:p>
      <w:pPr>
        <w:pStyle w:val="style0"/>
        <w:ind w:firstLine="420" w:firstLineChars="200"/>
        <w:rPr>
          <w:rFonts w:ascii="仿宋" w:eastAsia="仿宋" w:hAnsi="仿宋" w:hint="eastAsia"/>
          <w:sz w:val="32"/>
          <w:szCs w:val="32"/>
          <w:lang w:eastAsia="zh-CN"/>
        </w:rPr>
      </w:pPr>
      <w:r>
        <w:rPr/>
        <w:drawing>
          <wp:inline distL="0" distT="0" distB="0" distR="0">
            <wp:extent cx="5266055" cy="2811780"/>
            <wp:effectExtent l="0" t="0" r="6985" b="7620"/>
            <wp:docPr id="1028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055" cy="28117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420" w:firstLineChars="200"/>
        <w:rPr>
          <w:rFonts w:ascii="仿宋" w:eastAsia="仿宋" w:hAnsi="仿宋" w:hint="eastAsia"/>
          <w:sz w:val="32"/>
          <w:szCs w:val="32"/>
          <w:lang w:eastAsia="zh-CN"/>
        </w:rPr>
      </w:pPr>
      <w:r>
        <w:rPr/>
        <w:drawing>
          <wp:inline distL="0" distT="0" distB="0" distR="0">
            <wp:extent cx="5266055" cy="1482090"/>
            <wp:effectExtent l="0" t="0" r="6985" b="11430"/>
            <wp:docPr id="1029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055" cy="14820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</w:p>
    <w:p>
      <w:pPr>
        <w:pStyle w:val="style0"/>
        <w:ind w:firstLine="640" w:firstLineChars="2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进入申报页面</w:t>
      </w:r>
      <w:r>
        <w:rPr>
          <w:rFonts w:ascii="仿宋" w:eastAsia="仿宋" w:hAnsi="仿宋" w:hint="eastAsia"/>
          <w:sz w:val="32"/>
          <w:szCs w:val="32"/>
        </w:rPr>
        <w:t>”按钮</w:t>
      </w:r>
      <w:r>
        <w:rPr>
          <w:rFonts w:ascii="仿宋" w:eastAsia="仿宋" w:hAnsi="仿宋"/>
          <w:sz w:val="32"/>
          <w:szCs w:val="32"/>
        </w:rPr>
        <w:t>进入到产品维护界面</w:t>
      </w:r>
    </w:p>
    <w:p>
      <w:pPr>
        <w:pStyle w:val="style0"/>
        <w:ind w:firstLine="420" w:firstLineChars="200"/>
        <w:rPr>
          <w:rFonts w:ascii="仿宋" w:eastAsia="仿宋" w:hAnsi="仿宋" w:hint="eastAsia"/>
          <w:sz w:val="32"/>
          <w:szCs w:val="32"/>
          <w:lang w:eastAsia="zh-CN"/>
        </w:rPr>
      </w:pPr>
      <w:r>
        <w:rPr/>
        <w:drawing>
          <wp:inline distL="0" distT="0" distB="0" distR="0">
            <wp:extent cx="5264785" cy="1610995"/>
            <wp:effectExtent l="0" t="0" r="8255" b="4445"/>
            <wp:docPr id="1030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785" cy="16109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  <w:lang w:val="en-US" w:eastAsia="zh-CN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选择品种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按钮</w:t>
      </w:r>
      <w:r>
        <w:rPr>
          <w:rFonts w:ascii="仿宋" w:eastAsia="仿宋" w:hAnsi="仿宋"/>
          <w:sz w:val="32"/>
          <w:szCs w:val="32"/>
        </w:rPr>
        <w:t>，弹出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品种</w:t>
      </w:r>
      <w:r>
        <w:rPr>
          <w:rFonts w:ascii="仿宋" w:eastAsia="仿宋" w:hAnsi="仿宋"/>
          <w:sz w:val="32"/>
          <w:szCs w:val="32"/>
        </w:rPr>
        <w:t>信息页面，点击页面“选择”按钮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补充对应品种信息</w:t>
      </w:r>
      <w:r>
        <w:rPr>
          <w:rFonts w:ascii="仿宋" w:eastAsia="仿宋" w:hAnsi="仿宋"/>
          <w:sz w:val="32"/>
          <w:szCs w:val="32"/>
        </w:rPr>
        <w:t>：</w:t>
      </w:r>
    </w:p>
    <w:p>
      <w:pPr>
        <w:pStyle w:val="style0"/>
        <w:ind w:firstLine="420" w:firstLineChars="200"/>
        <w:rPr>
          <w:rFonts w:ascii="仿宋" w:eastAsia="仿宋" w:hAnsi="仿宋" w:hint="eastAsia"/>
          <w:sz w:val="32"/>
          <w:szCs w:val="32"/>
          <w:lang w:eastAsia="zh-CN"/>
        </w:rPr>
      </w:pPr>
      <w:r>
        <w:rPr/>
        <w:drawing>
          <wp:inline distL="0" distT="0" distB="0" distR="0">
            <wp:extent cx="5269230" cy="3629660"/>
            <wp:effectExtent l="0" t="0" r="3810" b="12700"/>
            <wp:docPr id="1031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230" cy="36296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40" w:firstLineChars="200"/>
        <w:rPr>
          <w:rFonts w:ascii="仿宋" w:eastAsia="仿宋" w:hAnsi="仿宋"/>
          <w:sz w:val="32"/>
          <w:szCs w:val="32"/>
        </w:rPr>
      </w:pPr>
    </w:p>
    <w:p>
      <w:pPr>
        <w:pStyle w:val="style0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按照页面内容进行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完善</w:t>
      </w:r>
      <w:r>
        <w:rPr>
          <w:rFonts w:ascii="仿宋" w:eastAsia="仿宋" w:hAnsi="仿宋"/>
          <w:sz w:val="32"/>
          <w:szCs w:val="32"/>
        </w:rPr>
        <w:t>其他产品资质信息及上传相关附件信息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确认无误后点击提交移交中心审核</w:t>
      </w:r>
    </w:p>
    <w:p>
      <w:pPr>
        <w:pStyle w:val="style0"/>
        <w:ind w:firstLine="645"/>
        <w:rPr>
          <w:rFonts w:ascii="仿宋" w:eastAsia="仿宋" w:hAnsi="仿宋" w:hint="eastAsia"/>
          <w:sz w:val="32"/>
          <w:szCs w:val="32"/>
          <w:lang w:eastAsia="zh-CN"/>
        </w:rPr>
      </w:pPr>
    </w:p>
    <w:p>
      <w:pPr>
        <w:pStyle w:val="style0"/>
        <w:ind w:firstLine="640" w:firstLineChars="200"/>
        <w:outlineLvl w:val="1"/>
        <w:rPr>
          <w:rFonts w:ascii="黑体" w:eastAsia="黑体" w:hAnsi="黑体" w:hint="default"/>
          <w:sz w:val="32"/>
          <w:szCs w:val="32"/>
          <w:lang w:val="en-US"/>
        </w:rPr>
      </w:pP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.</w:t>
      </w:r>
      <w:r>
        <w:rPr>
          <w:rFonts w:ascii="黑体" w:eastAsia="黑体" w:hAnsi="黑体" w:hint="eastAsia"/>
          <w:sz w:val="32"/>
          <w:szCs w:val="32"/>
          <w:lang w:val="en-US" w:eastAsia="zh-CN"/>
        </w:rPr>
        <w:t>2企业报名</w:t>
      </w:r>
    </w:p>
    <w:p>
      <w:pPr>
        <w:pStyle w:val="style0"/>
        <w:ind w:firstLine="640" w:firstLineChars="200"/>
        <w:rPr>
          <w:rFonts w:ascii="仿宋" w:eastAsia="仿宋" w:hAnsi="仿宋" w:hint="eastAsia"/>
          <w:sz w:val="32"/>
          <w:szCs w:val="32"/>
          <w:lang w:eastAsia="zh-CN"/>
        </w:rPr>
      </w:pPr>
      <w:r>
        <w:rPr>
          <w:rFonts w:ascii="仿宋" w:eastAsia="仿宋" w:hAnsi="仿宋" w:hint="eastAsia"/>
          <w:sz w:val="32"/>
          <w:szCs w:val="32"/>
        </w:rPr>
        <w:t>点击【2024年豫东片区联盟药品集采】模块，进入到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企业报名</w:t>
      </w:r>
      <w:r>
        <w:rPr>
          <w:rFonts w:ascii="仿宋" w:eastAsia="仿宋" w:hAnsi="仿宋" w:hint="eastAsia"/>
          <w:sz w:val="32"/>
          <w:szCs w:val="32"/>
        </w:rPr>
        <w:t>界面</w:t>
      </w:r>
    </w:p>
    <w:p>
      <w:pPr>
        <w:pStyle w:val="style0"/>
        <w:ind w:firstLine="645"/>
        <w:rPr>
          <w:rFonts w:ascii="仿宋" w:eastAsia="仿宋" w:hAnsi="仿宋" w:hint="eastAsia"/>
          <w:sz w:val="32"/>
          <w:szCs w:val="32"/>
          <w:lang w:eastAsia="zh-CN"/>
        </w:rPr>
      </w:pPr>
      <w:r>
        <w:rPr/>
        <w:drawing>
          <wp:inline distL="0" distT="0" distB="0" distR="0">
            <wp:extent cx="5262245" cy="2310765"/>
            <wp:effectExtent l="0" t="0" r="10795" b="5715"/>
            <wp:docPr id="1032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23107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45"/>
        <w:rPr>
          <w:rFonts w:ascii="仿宋" w:eastAsia="仿宋" w:hAnsi="仿宋" w:hint="default"/>
          <w:sz w:val="32"/>
          <w:szCs w:val="32"/>
          <w:lang w:val="en-US" w:eastAsia="zh-CN"/>
        </w:rPr>
      </w:pPr>
      <w:r>
        <w:rPr>
          <w:rFonts w:ascii="仿宋" w:eastAsia="仿宋" w:hAnsi="仿宋"/>
          <w:sz w:val="32"/>
          <w:szCs w:val="32"/>
        </w:rPr>
        <w:t>按照页面内容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完善</w:t>
      </w:r>
      <w:r>
        <w:rPr>
          <w:rFonts w:ascii="仿宋" w:eastAsia="仿宋" w:hAnsi="仿宋"/>
          <w:sz w:val="32"/>
          <w:szCs w:val="32"/>
        </w:rPr>
        <w:t>相关附件信息</w:t>
      </w:r>
      <w:r>
        <w:rPr>
          <w:rFonts w:ascii="仿宋" w:eastAsia="仿宋" w:hAnsi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sz w:val="32"/>
          <w:szCs w:val="32"/>
          <w:lang w:val="en-US" w:eastAsia="zh-CN"/>
        </w:rPr>
        <w:t>确认无误后点击提交移交中心审核，系统提示“操作成功”即完成企业报名。</w:t>
      </w:r>
    </w:p>
    <w:p>
      <w:pPr>
        <w:pStyle w:val="style0"/>
        <w:ind w:firstLine="645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color w:val="ff0000"/>
          <w:sz w:val="32"/>
          <w:szCs w:val="32"/>
        </w:rPr>
        <w:t>说明：</w:t>
      </w:r>
      <w:r>
        <w:rPr>
          <w:rFonts w:ascii="仿宋" w:eastAsia="仿宋" w:hAnsi="仿宋" w:hint="eastAsia"/>
          <w:color w:val="ff0000"/>
          <w:sz w:val="32"/>
          <w:szCs w:val="32"/>
        </w:rPr>
        <w:tab/>
      </w:r>
    </w:p>
    <w:p>
      <w:pPr>
        <w:pStyle w:val="style0"/>
        <w:ind w:firstLine="645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color w:val="ff0000"/>
          <w:sz w:val="32"/>
          <w:szCs w:val="32"/>
          <w:lang w:val="en-US" w:eastAsia="zh-CN"/>
        </w:rPr>
        <w:t>1</w:t>
      </w:r>
      <w:r>
        <w:rPr>
          <w:rFonts w:ascii="仿宋" w:eastAsia="仿宋" w:hAnsi="仿宋" w:hint="eastAsia"/>
          <w:color w:val="ff0000"/>
          <w:sz w:val="32"/>
          <w:szCs w:val="32"/>
        </w:rPr>
        <w:t>、</w:t>
      </w:r>
      <w:r>
        <w:rPr>
          <w:rFonts w:ascii="仿宋" w:eastAsia="仿宋" w:hAnsi="仿宋" w:hint="eastAsia"/>
          <w:color w:val="ff0000"/>
          <w:sz w:val="32"/>
          <w:szCs w:val="32"/>
        </w:rPr>
        <w:tab/>
      </w:r>
      <w:r>
        <w:rPr>
          <w:rFonts w:ascii="仿宋" w:eastAsia="仿宋" w:hAnsi="仿宋" w:hint="eastAsia"/>
          <w:color w:val="ff0000"/>
          <w:sz w:val="32"/>
          <w:szCs w:val="32"/>
          <w:lang w:val="en-US" w:eastAsia="zh-CN"/>
        </w:rPr>
        <w:t>在药品申报</w:t>
      </w:r>
      <w:r>
        <w:rPr>
          <w:rFonts w:ascii="仿宋" w:eastAsia="仿宋" w:hAnsi="仿宋" w:hint="eastAsia"/>
          <w:color w:val="ff0000"/>
          <w:sz w:val="32"/>
          <w:szCs w:val="32"/>
        </w:rPr>
        <w:t>时，</w:t>
      </w:r>
      <w:r>
        <w:rPr>
          <w:rFonts w:ascii="仿宋" w:eastAsia="仿宋" w:hAnsi="仿宋" w:hint="eastAsia"/>
          <w:color w:val="ff0000"/>
          <w:sz w:val="32"/>
          <w:szCs w:val="32"/>
          <w:lang w:val="en-US" w:eastAsia="zh-CN"/>
        </w:rPr>
        <w:t>品种序号/通用名/注册剂型/报价规格无需填写，可通过选择自动填充</w:t>
      </w:r>
      <w:r>
        <w:rPr>
          <w:rFonts w:ascii="仿宋" w:eastAsia="仿宋" w:hAnsi="仿宋" w:hint="eastAsia"/>
          <w:color w:val="ff0000"/>
          <w:sz w:val="32"/>
          <w:szCs w:val="32"/>
          <w:lang w:eastAsia="zh-CN"/>
        </w:rPr>
        <w:t>，</w:t>
      </w:r>
      <w:r>
        <w:rPr>
          <w:rFonts w:ascii="仿宋" w:eastAsia="仿宋" w:hAnsi="仿宋" w:hint="eastAsia"/>
          <w:color w:val="ff0000"/>
          <w:sz w:val="32"/>
          <w:szCs w:val="32"/>
          <w:lang w:val="en-US" w:eastAsia="zh-CN"/>
        </w:rPr>
        <w:t>相关pdf格式附件上传时不能超过3M</w:t>
      </w:r>
      <w:r>
        <w:rPr>
          <w:rFonts w:ascii="仿宋" w:eastAsia="仿宋" w:hAnsi="仿宋" w:hint="eastAsia"/>
          <w:color w:val="ff0000"/>
          <w:sz w:val="32"/>
          <w:szCs w:val="32"/>
        </w:rPr>
        <w:t>。</w:t>
      </w:r>
    </w:p>
    <w:bookmarkStart w:id="0" w:name="_GoBack"/>
    <w:bookmarkEnd w:id="0"/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Calibri Light">
    <w:altName w:val="Calibri Light"/>
    <w:panose1 w:val="020f0302020002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6B207D6C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Times New Roman" w:eastAsia="宋体" w:hAnsi="Calibri"/>
      <w:kern w:val="2"/>
      <w:sz w:val="21"/>
      <w:szCs w:val="22"/>
      <w:lang w:val="en-US" w:bidi="ar-SA" w:eastAsia="zh-CN"/>
    </w:rPr>
  </w:style>
  <w:style w:type="paragraph" w:styleId="style1">
    <w:name w:val="heading 1"/>
    <w:basedOn w:val="style0"/>
    <w:next w:val="style0"/>
    <w:qFormat/>
    <w:uiPriority w:val="0"/>
    <w:pPr>
      <w:keepNext/>
      <w:keepLines/>
      <w:spacing w:before="340" w:after="330" w:lineRule="auto" w:line="578"/>
      <w:outlineLvl w:val="0"/>
    </w:pPr>
    <w:rPr>
      <w:b/>
      <w:bCs/>
      <w:kern w:val="44"/>
      <w:sz w:val="44"/>
      <w:szCs w:val="44"/>
    </w:rPr>
  </w:style>
  <w:style w:type="paragraph" w:styleId="style2">
    <w:name w:val="heading 2"/>
    <w:basedOn w:val="style0"/>
    <w:next w:val="style0"/>
    <w:qFormat/>
    <w:uiPriority w:val="0"/>
    <w:pPr>
      <w:keepNext/>
      <w:keepLines/>
      <w:spacing w:before="260" w:after="260" w:lineRule="auto" w:line="416"/>
      <w:outlineLvl w:val="1"/>
    </w:pPr>
    <w:rPr>
      <w:rFonts w:ascii="Calibri Light" w:cs="宋体" w:eastAsia="宋体" w:hAnsi="Calibri Light"/>
      <w:b/>
      <w:bCs/>
      <w:sz w:val="32"/>
      <w:szCs w:val="32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394</Words>
  <Pages>5</Pages>
  <Characters>410</Characters>
  <Application>WPS Office</Application>
  <DocSecurity>0</DocSecurity>
  <Paragraphs>58</Paragraphs>
  <ScaleCrop>false</ScaleCrop>
  <LinksUpToDate>false</LinksUpToDate>
  <CharactersWithSpaces>412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2023-02-23T02:04:00Z</dcterms:created>
  <dc:creator>李静波</dc:creator>
  <lastModifiedBy>24072PX77C</lastModifiedBy>
  <dcterms:modified xsi:type="dcterms:W3CDTF">2024-09-19T10:31:32Z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7334cfa2550345b19d3a9d1c43e04913_23</vt:lpwstr>
  </property>
</Properties>
</file>